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F96ACC">
        <w:rPr>
          <w:b/>
          <w:bCs/>
        </w:rPr>
        <w:t>21107000121</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 расходных материалов</w:t>
      </w:r>
      <w:r w:rsidR="001F70A0">
        <w:t xml:space="preserve"> и медицинских изделий </w:t>
      </w:r>
      <w:r w:rsidR="00441FD5">
        <w:t xml:space="preserve"> </w:t>
      </w:r>
      <w:r w:rsidR="000A5946">
        <w:t>на 3 месяца</w:t>
      </w:r>
      <w:r w:rsidR="00963099">
        <w:t xml:space="preserve"> 2021 г.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5532D8"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расходных материалов и медицинских изделий  на 3 месяца 2021 г. </w:t>
            </w:r>
            <w:r w:rsidRPr="006E3DB5">
              <w:t>для</w:t>
            </w:r>
            <w:r>
              <w:t xml:space="preserve"> стационара,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5532D8"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F96ACC" w:rsidP="00C744F1">
            <w:pPr>
              <w:suppressAutoHyphens/>
              <w:rPr>
                <w:rFonts w:eastAsia="MS Mincho"/>
                <w:b/>
              </w:rPr>
            </w:pPr>
            <w:r>
              <w:rPr>
                <w:rFonts w:eastAsia="MS Mincho"/>
                <w:b/>
              </w:rPr>
              <w:t>- 729 146,52 рубля</w:t>
            </w:r>
            <w:r w:rsidR="000A5946">
              <w:rPr>
                <w:rFonts w:eastAsia="MS Mincho"/>
                <w:b/>
              </w:rPr>
              <w:t>.</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F96ACC">
              <w:rPr>
                <w:b/>
                <w:bCs/>
              </w:rPr>
              <w:t>«03</w:t>
            </w:r>
            <w:r w:rsidR="00EF254D" w:rsidRPr="006045A9">
              <w:rPr>
                <w:b/>
                <w:bCs/>
              </w:rPr>
              <w:t xml:space="preserve">» </w:t>
            </w:r>
            <w:r w:rsidR="000A5946">
              <w:rPr>
                <w:b/>
                <w:bCs/>
              </w:rPr>
              <w:t>сентября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F96ACC">
              <w:rPr>
                <w:b/>
                <w:bCs/>
              </w:rPr>
              <w:t>10</w:t>
            </w:r>
            <w:r w:rsidR="008A1582" w:rsidRPr="006045A9">
              <w:rPr>
                <w:b/>
                <w:bCs/>
              </w:rPr>
              <w:t xml:space="preserve">» </w:t>
            </w:r>
            <w:r w:rsidR="000A5946">
              <w:rPr>
                <w:b/>
                <w:bCs/>
              </w:rPr>
              <w:t xml:space="preserve"> сентября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F96ACC">
              <w:rPr>
                <w:b/>
                <w:bCs/>
              </w:rPr>
              <w:t>10</w:t>
            </w:r>
            <w:r w:rsidR="00547F38" w:rsidRPr="006E3DB5">
              <w:rPr>
                <w:b/>
                <w:bCs/>
              </w:rPr>
              <w:t xml:space="preserve">» </w:t>
            </w:r>
            <w:bookmarkStart w:id="1" w:name="_GoBack"/>
            <w:bookmarkEnd w:id="1"/>
            <w:r w:rsidR="000A5946">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F96ACC">
              <w:rPr>
                <w:b/>
                <w:bCs/>
              </w:rPr>
              <w:t>10</w:t>
            </w:r>
            <w:r w:rsidR="00547F38" w:rsidRPr="00CF43C7">
              <w:rPr>
                <w:b/>
                <w:bCs/>
              </w:rPr>
              <w:t xml:space="preserve">» </w:t>
            </w:r>
            <w:r w:rsidR="00752989">
              <w:rPr>
                <w:b/>
                <w:bCs/>
              </w:rPr>
              <w:t xml:space="preserve">сентября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w:t>
            </w:r>
            <w:r w:rsidRPr="00CF43C7">
              <w:rPr>
                <w:bCs/>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xml:space="preserve">, и (или) в реестре недобросовестных поставщиков, предусмотренном </w:t>
            </w:r>
            <w:r w:rsidRPr="00CF43C7">
              <w:rPr>
                <w:bCs/>
              </w:rPr>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F96ACC">
              <w:rPr>
                <w:b/>
                <w:bCs/>
              </w:rPr>
              <w:t>03</w:t>
            </w:r>
            <w:r w:rsidR="00752989">
              <w:rPr>
                <w:b/>
                <w:bCs/>
              </w:rPr>
              <w:t>» сентября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lastRenderedPageBreak/>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F96ACC">
        <w:rPr>
          <w:rFonts w:ascii="Times New Roman" w:hAnsi="Times New Roman"/>
          <w:color w:val="000000"/>
          <w:sz w:val="24"/>
          <w:szCs w:val="24"/>
        </w:rPr>
        <w:t xml:space="preserve">                   № 21107000121</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752989">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F96ACC" w:rsidRPr="00BF0E51" w:rsidRDefault="00F96ACC" w:rsidP="00F96ACC">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F96ACC" w:rsidRPr="00BF0E51" w:rsidRDefault="00F96ACC" w:rsidP="00F96ACC">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F96ACC" w:rsidRPr="00BF0E51" w:rsidRDefault="00F96ACC" w:rsidP="00F96ACC">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F96ACC" w:rsidRPr="00BF0E51" w:rsidRDefault="00F96ACC" w:rsidP="00F96ACC">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F96ACC" w:rsidRDefault="00F96ACC" w:rsidP="00F96ACC">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10-ти рабочих дней с даты опубликования заявки в системе «Электронный ордер»</w:t>
      </w:r>
    </w:p>
    <w:p w:rsidR="00F96ACC" w:rsidRDefault="00F96ACC" w:rsidP="00F96ACC">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F96ACC" w:rsidRPr="00F66E1D" w:rsidRDefault="00F96ACC" w:rsidP="00F96ACC">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F96ACC" w:rsidRDefault="00F96ACC" w:rsidP="00F96ACC">
      <w:pPr>
        <w:suppressAutoHyphens/>
        <w:spacing w:line="320" w:lineRule="exact"/>
        <w:ind w:right="-992"/>
        <w:textAlignment w:val="baseline"/>
      </w:pPr>
      <w:r w:rsidRPr="00042189">
        <w:rPr>
          <w:color w:val="000000"/>
        </w:rPr>
        <w:t xml:space="preserve">- </w:t>
      </w:r>
      <w:r w:rsidRPr="00042189">
        <w:t xml:space="preserve">срок годности поставляемого Товара, должен быть не менее 60% до окончания срока годности. </w:t>
      </w:r>
    </w:p>
    <w:p w:rsidR="00F96ACC" w:rsidRPr="00042189" w:rsidRDefault="00F96ACC" w:rsidP="00F96ACC">
      <w:pPr>
        <w:suppressAutoHyphens/>
        <w:spacing w:line="320" w:lineRule="exact"/>
        <w:ind w:right="-992"/>
        <w:textAlignment w:val="baseline"/>
        <w:rPr>
          <w:rFonts w:eastAsia="Calibri"/>
          <w:kern w:val="3"/>
        </w:rPr>
      </w:pPr>
      <w:r w:rsidRPr="00042189">
        <w:t>Поставка продукции с остаточным сроком годности менее 60% возможна по соглашению Сторон.</w:t>
      </w:r>
    </w:p>
    <w:p w:rsidR="00F96ACC" w:rsidRPr="00BB1CD1" w:rsidRDefault="00F96ACC" w:rsidP="00F96ACC">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7"/>
        <w:gridCol w:w="1134"/>
        <w:gridCol w:w="1418"/>
      </w:tblGrid>
      <w:tr w:rsidR="00F96ACC" w:rsidRPr="00BB1CD1" w:rsidTr="006F11CC">
        <w:trPr>
          <w:trHeight w:val="372"/>
        </w:trPr>
        <w:tc>
          <w:tcPr>
            <w:tcW w:w="710" w:type="dxa"/>
          </w:tcPr>
          <w:p w:rsidR="00F96ACC" w:rsidRPr="00BB1CD1" w:rsidRDefault="00F96ACC" w:rsidP="006F11CC">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7087" w:type="dxa"/>
          </w:tcPr>
          <w:p w:rsidR="00F96ACC" w:rsidRPr="00BB1CD1" w:rsidRDefault="00F96ACC" w:rsidP="006F11CC">
            <w:pPr>
              <w:spacing w:line="300" w:lineRule="exact"/>
              <w:jc w:val="center"/>
              <w:rPr>
                <w:b/>
                <w:sz w:val="28"/>
                <w:szCs w:val="28"/>
              </w:rPr>
            </w:pPr>
            <w:r w:rsidRPr="00BB1CD1">
              <w:rPr>
                <w:b/>
                <w:sz w:val="28"/>
                <w:szCs w:val="28"/>
              </w:rPr>
              <w:t>Наименование</w:t>
            </w:r>
          </w:p>
          <w:p w:rsidR="00F96ACC" w:rsidRPr="00BB1CD1" w:rsidRDefault="00F96ACC" w:rsidP="006F11CC">
            <w:pPr>
              <w:spacing w:line="300" w:lineRule="exact"/>
              <w:jc w:val="center"/>
              <w:rPr>
                <w:b/>
                <w:sz w:val="28"/>
                <w:szCs w:val="28"/>
              </w:rPr>
            </w:pPr>
          </w:p>
        </w:tc>
        <w:tc>
          <w:tcPr>
            <w:tcW w:w="1134" w:type="dxa"/>
            <w:vAlign w:val="center"/>
          </w:tcPr>
          <w:p w:rsidR="00F96ACC" w:rsidRPr="00BB1CD1" w:rsidRDefault="00F96ACC" w:rsidP="006F11CC">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418" w:type="dxa"/>
          </w:tcPr>
          <w:p w:rsidR="00F96ACC" w:rsidRPr="00BB1CD1" w:rsidRDefault="00F96ACC" w:rsidP="006F11CC">
            <w:pPr>
              <w:jc w:val="center"/>
              <w:rPr>
                <w:rFonts w:eastAsia="Calibri"/>
                <w:b/>
                <w:kern w:val="3"/>
                <w:sz w:val="28"/>
                <w:szCs w:val="28"/>
              </w:rPr>
            </w:pPr>
            <w:r w:rsidRPr="00BB1CD1">
              <w:rPr>
                <w:rFonts w:eastAsia="Calibri"/>
                <w:b/>
                <w:kern w:val="3"/>
                <w:sz w:val="28"/>
                <w:szCs w:val="28"/>
              </w:rPr>
              <w:t xml:space="preserve">Кол-во </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Бинт марлевый /нестерильный/  5х10 в упаковке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500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Бинт марлевый /нестерильный/  7х14 в упаковке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900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Бинт марлевый /нестерильный/ 10 </w:t>
            </w:r>
            <w:proofErr w:type="spellStart"/>
            <w:r w:rsidRPr="00B166BA">
              <w:rPr>
                <w:color w:val="000000"/>
              </w:rPr>
              <w:t>х</w:t>
            </w:r>
            <w:proofErr w:type="spellEnd"/>
            <w:r w:rsidRPr="00B166BA">
              <w:rPr>
                <w:color w:val="000000"/>
              </w:rPr>
              <w:t xml:space="preserve"> 16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24</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Бинт марлевый /стерильный/ 10 </w:t>
            </w:r>
            <w:proofErr w:type="spellStart"/>
            <w:r w:rsidRPr="00B166BA">
              <w:rPr>
                <w:color w:val="000000"/>
              </w:rPr>
              <w:t>х</w:t>
            </w:r>
            <w:proofErr w:type="spellEnd"/>
            <w:r w:rsidRPr="00B166BA">
              <w:rPr>
                <w:color w:val="000000"/>
              </w:rPr>
              <w:t xml:space="preserve"> 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24</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Гель для УЗИ 1 литр /средней вязкости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rPr>
                <w:color w:val="000000"/>
              </w:rPr>
              <w:t>фл</w:t>
            </w:r>
            <w:proofErr w:type="spellEnd"/>
            <w:r w:rsidRPr="00B166BA">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14</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Зонд </w:t>
            </w:r>
            <w:proofErr w:type="spellStart"/>
            <w:r w:rsidRPr="00B166BA">
              <w:rPr>
                <w:color w:val="000000"/>
              </w:rPr>
              <w:t>урогенитальный</w:t>
            </w:r>
            <w:proofErr w:type="spellEnd"/>
            <w:r w:rsidRPr="00B166BA">
              <w:rPr>
                <w:color w:val="000000"/>
              </w:rPr>
              <w:t xml:space="preserve"> тип</w:t>
            </w:r>
            <w:proofErr w:type="gramStart"/>
            <w:r w:rsidRPr="00B166BA">
              <w:rPr>
                <w:color w:val="000000"/>
              </w:rPr>
              <w:t xml:space="preserve"> А</w:t>
            </w:r>
            <w:proofErr w:type="gramEnd"/>
            <w:r w:rsidRPr="00B166BA">
              <w:rPr>
                <w:color w:val="000000"/>
              </w:rPr>
              <w:t xml:space="preserve"> /универсальный/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1 200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Иглы </w:t>
            </w:r>
            <w:proofErr w:type="spellStart"/>
            <w:r w:rsidRPr="00B166BA">
              <w:rPr>
                <w:color w:val="000000"/>
              </w:rPr>
              <w:t>инъекц</w:t>
            </w:r>
            <w:proofErr w:type="spellEnd"/>
            <w:r w:rsidRPr="00B166BA">
              <w:rPr>
                <w:color w:val="000000"/>
              </w:rPr>
              <w:t>. 18G 1,2   шт./</w:t>
            </w:r>
            <w:proofErr w:type="spellStart"/>
            <w:r w:rsidRPr="00B166BA">
              <w:rPr>
                <w:color w:val="000000"/>
              </w:rPr>
              <w:t>уп</w:t>
            </w:r>
            <w:proofErr w:type="spellEnd"/>
            <w:r w:rsidRPr="00B166BA">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Катетер </w:t>
            </w:r>
            <w:proofErr w:type="spellStart"/>
            <w:r w:rsidRPr="00B166BA">
              <w:rPr>
                <w:color w:val="000000"/>
              </w:rPr>
              <w:t>Фолея</w:t>
            </w:r>
            <w:proofErr w:type="spellEnd"/>
            <w:r w:rsidRPr="00B166BA">
              <w:rPr>
                <w:color w:val="000000"/>
              </w:rPr>
              <w:t xml:space="preserve"> 2-х ходовой СН16 40 см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Лейкопластырь 5,0 </w:t>
            </w:r>
            <w:proofErr w:type="spellStart"/>
            <w:r w:rsidRPr="00B166BA">
              <w:rPr>
                <w:color w:val="000000"/>
              </w:rPr>
              <w:t>х</w:t>
            </w:r>
            <w:proofErr w:type="spellEnd"/>
            <w:r w:rsidRPr="00B166BA">
              <w:rPr>
                <w:color w:val="000000"/>
              </w:rPr>
              <w:t xml:space="preserve"> 500 /полимерная основа/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12</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Лейкопластырь 3,0 </w:t>
            </w:r>
            <w:proofErr w:type="spellStart"/>
            <w:r w:rsidRPr="00B166BA">
              <w:rPr>
                <w:color w:val="000000"/>
              </w:rPr>
              <w:t>х</w:t>
            </w:r>
            <w:proofErr w:type="spellEnd"/>
            <w:r w:rsidRPr="00B166BA">
              <w:rPr>
                <w:color w:val="000000"/>
              </w:rPr>
              <w:t xml:space="preserve"> 500 /тканевая основа/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180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Лейкопластырь  5,0 </w:t>
            </w:r>
            <w:proofErr w:type="spellStart"/>
            <w:r w:rsidRPr="00B166BA">
              <w:rPr>
                <w:color w:val="000000"/>
              </w:rPr>
              <w:t>х</w:t>
            </w:r>
            <w:proofErr w:type="spellEnd"/>
            <w:r w:rsidRPr="00B166BA">
              <w:rPr>
                <w:color w:val="000000"/>
              </w:rPr>
              <w:t xml:space="preserve"> 500 /тканевая основа/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180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Перчатки (пар) </w:t>
            </w:r>
            <w:proofErr w:type="spellStart"/>
            <w:r w:rsidRPr="00B166BA">
              <w:rPr>
                <w:color w:val="000000"/>
              </w:rPr>
              <w:t>нитриловые</w:t>
            </w:r>
            <w:proofErr w:type="spellEnd"/>
            <w:r w:rsidRPr="00B166BA">
              <w:rPr>
                <w:color w:val="000000"/>
              </w:rPr>
              <w:t xml:space="preserve"> размер  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6 000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Перчатки (пар) </w:t>
            </w:r>
            <w:proofErr w:type="spellStart"/>
            <w:r w:rsidRPr="00B166BA">
              <w:rPr>
                <w:color w:val="000000"/>
              </w:rPr>
              <w:t>нитриловые</w:t>
            </w:r>
            <w:proofErr w:type="spellEnd"/>
            <w:r w:rsidRPr="00B166BA">
              <w:rPr>
                <w:color w:val="000000"/>
              </w:rPr>
              <w:t xml:space="preserve"> размер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10 000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Перчатки (пар) </w:t>
            </w:r>
            <w:proofErr w:type="spellStart"/>
            <w:r w:rsidRPr="00B166BA">
              <w:rPr>
                <w:color w:val="000000"/>
              </w:rPr>
              <w:t>нитриловые</w:t>
            </w:r>
            <w:proofErr w:type="spellEnd"/>
            <w:r w:rsidRPr="00B166BA">
              <w:rPr>
                <w:color w:val="000000"/>
              </w:rPr>
              <w:t xml:space="preserve"> размер  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sidRPr="00E37676">
              <w:rPr>
                <w:b/>
                <w:color w:val="000000"/>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латексные размер 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латексные размер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4 000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17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латексные размер 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1 500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хирургические /стерильные/ размер 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lastRenderedPageBreak/>
              <w:t>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хирургические /стерильные/ размер 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Перчатки (пар) хирургические /стерильные/ размер 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пара</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400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Салфетки марлевые  16 </w:t>
            </w:r>
            <w:proofErr w:type="spellStart"/>
            <w:r w:rsidRPr="00B166BA">
              <w:rPr>
                <w:color w:val="000000"/>
              </w:rPr>
              <w:t>х</w:t>
            </w:r>
            <w:proofErr w:type="spellEnd"/>
            <w:r w:rsidRPr="00B166BA">
              <w:rPr>
                <w:color w:val="000000"/>
              </w:rPr>
              <w:t xml:space="preserve"> 14 см /стерильные/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rPr>
                <w:color w:val="000000"/>
              </w:rP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Шприц одноразовый 3-х </w:t>
            </w:r>
            <w:proofErr w:type="spellStart"/>
            <w:r w:rsidRPr="00B166BA">
              <w:rPr>
                <w:color w:val="000000"/>
              </w:rPr>
              <w:t>комп</w:t>
            </w:r>
            <w:proofErr w:type="spellEnd"/>
            <w:r w:rsidRPr="00B166BA">
              <w:rPr>
                <w:color w:val="000000"/>
              </w:rPr>
              <w:t xml:space="preserve"> 10,0 мл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7 000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Шприц одноразовый 3-х </w:t>
            </w:r>
            <w:proofErr w:type="spellStart"/>
            <w:r w:rsidRPr="00B166BA">
              <w:rPr>
                <w:color w:val="000000"/>
              </w:rPr>
              <w:t>комп</w:t>
            </w:r>
            <w:proofErr w:type="spellEnd"/>
            <w:r w:rsidRPr="00B166BA">
              <w:rPr>
                <w:color w:val="000000"/>
              </w:rPr>
              <w:t xml:space="preserve"> 2,0 мл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10 000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r w:rsidRPr="00B166BA">
              <w:rPr>
                <w:color w:val="000000"/>
              </w:rPr>
              <w:t xml:space="preserve">Электроды для суточного </w:t>
            </w:r>
            <w:proofErr w:type="spellStart"/>
            <w:r w:rsidRPr="00B166BA">
              <w:rPr>
                <w:color w:val="000000"/>
              </w:rPr>
              <w:t>мониторирования</w:t>
            </w:r>
            <w:proofErr w:type="spellEnd"/>
            <w:r w:rsidRPr="00B166BA">
              <w:rPr>
                <w:color w:val="000000"/>
              </w:rPr>
              <w:t xml:space="preserve">  одноразовые 35х50 30 </w:t>
            </w:r>
            <w:proofErr w:type="spellStart"/>
            <w:proofErr w:type="gramStart"/>
            <w:r w:rsidRPr="00B166BA">
              <w:rPr>
                <w:color w:val="000000"/>
              </w:rPr>
              <w:t>шт</w:t>
            </w:r>
            <w:proofErr w:type="spellEnd"/>
            <w:proofErr w:type="gramEnd"/>
            <w:r w:rsidRPr="00B166BA">
              <w:rPr>
                <w:color w:val="000000"/>
              </w:rPr>
              <w:t>/</w:t>
            </w:r>
            <w:proofErr w:type="spellStart"/>
            <w:r w:rsidRPr="00B166BA">
              <w:rPr>
                <w:color w:val="000000"/>
              </w:rPr>
              <w:t>уп</w:t>
            </w:r>
            <w:proofErr w:type="spellEnd"/>
            <w:r w:rsidRPr="00B166BA">
              <w:rPr>
                <w:color w:val="000000"/>
              </w:rPr>
              <w:t xml:space="preserve">. </w:t>
            </w:r>
            <w:proofErr w:type="spellStart"/>
            <w:r w:rsidRPr="00B166BA">
              <w:rPr>
                <w:color w:val="000000"/>
              </w:rPr>
              <w:t>Skintact</w:t>
            </w:r>
            <w:proofErr w:type="spellEnd"/>
            <w:r w:rsidRPr="00B166BA">
              <w:rPr>
                <w:color w:val="000000"/>
              </w:rPr>
              <w:t xml:space="preserve"> FS-50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rPr>
                <w:color w:val="000000"/>
              </w:rPr>
            </w:pPr>
            <w:proofErr w:type="spellStart"/>
            <w:r w:rsidRPr="00B166BA">
              <w:t>упак</w:t>
            </w:r>
            <w:proofErr w:type="spellEnd"/>
            <w:r w:rsidRPr="00B166BA">
              <w:t>.</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70</w:t>
            </w:r>
          </w:p>
        </w:tc>
      </w:tr>
      <w:tr w:rsidR="00F96ACC" w:rsidRPr="0015128B" w:rsidTr="006F1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F96ACC" w:rsidRPr="00E37676" w:rsidRDefault="00F96ACC" w:rsidP="006F11CC">
            <w:pPr>
              <w:jc w:val="center"/>
              <w:rPr>
                <w:b/>
                <w:color w:val="000000"/>
              </w:rPr>
            </w:pPr>
            <w:r>
              <w:rPr>
                <w:b/>
                <w:color w:val="000000"/>
              </w:rPr>
              <w:t>25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ACC" w:rsidRPr="00B166BA" w:rsidRDefault="00F96ACC" w:rsidP="006F11CC">
            <w:pPr>
              <w:rPr>
                <w:color w:val="000000"/>
              </w:rPr>
            </w:pPr>
            <w:proofErr w:type="spellStart"/>
            <w:r w:rsidRPr="00B166BA">
              <w:rPr>
                <w:color w:val="000000"/>
              </w:rPr>
              <w:t>Пульсоксиметр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ACC" w:rsidRPr="00B166BA" w:rsidRDefault="00F96ACC" w:rsidP="006F11CC">
            <w:pPr>
              <w:jc w:val="center"/>
            </w:pPr>
            <w:r w:rsidRPr="00B166BA">
              <w:rPr>
                <w:color w:val="000000"/>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F96ACC" w:rsidRPr="00B166BA" w:rsidRDefault="00F96ACC" w:rsidP="006F11CC">
            <w:pPr>
              <w:jc w:val="center"/>
              <w:rPr>
                <w:color w:val="000000"/>
              </w:rPr>
            </w:pPr>
            <w:r w:rsidRPr="00B166BA">
              <w:rPr>
                <w:color w:val="000000"/>
              </w:rPr>
              <w:t>2</w:t>
            </w:r>
          </w:p>
        </w:tc>
      </w:tr>
    </w:tbl>
    <w:p w:rsidR="00752989" w:rsidRDefault="00752989" w:rsidP="00752989">
      <w:pPr>
        <w:jc w:val="right"/>
        <w:rPr>
          <w:lang w:eastAsia="ar-SA"/>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F96ACC">
      <w:pPr>
        <w:rPr>
          <w:color w:val="000000"/>
        </w:rPr>
      </w:pPr>
    </w:p>
    <w:p w:rsidR="00F96ACC" w:rsidRDefault="00F96ACC" w:rsidP="00F96ACC">
      <w:pPr>
        <w:rPr>
          <w:color w:val="000000"/>
        </w:rPr>
      </w:pPr>
    </w:p>
    <w:p w:rsidR="00752989" w:rsidRDefault="00752989" w:rsidP="00752989">
      <w:pPr>
        <w:jc w:val="right"/>
        <w:rPr>
          <w:color w:val="000000"/>
        </w:rPr>
      </w:pPr>
    </w:p>
    <w:p w:rsidR="00C31016" w:rsidRDefault="00C31016" w:rsidP="00752989">
      <w:pPr>
        <w:jc w:val="right"/>
        <w:rPr>
          <w:color w:val="000000"/>
        </w:rPr>
      </w:pPr>
      <w:r>
        <w:rPr>
          <w:color w:val="000000"/>
        </w:rPr>
        <w:lastRenderedPageBreak/>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F96ACC">
        <w:rPr>
          <w:rFonts w:ascii="Times New Roman" w:hAnsi="Times New Roman"/>
          <w:color w:val="000000"/>
          <w:sz w:val="24"/>
          <w:szCs w:val="24"/>
        </w:rPr>
        <w:t xml:space="preserve">                   № 21107000121</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F96ACC">
        <w:rPr>
          <w:b/>
          <w:bCs/>
        </w:rPr>
        <w:t>21107000121</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0F698B">
        <w:t>«_____» ма</w:t>
      </w:r>
      <w:r w:rsidR="003F57D5" w:rsidRPr="00C744F1">
        <w:t>я</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течение 10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744F1">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lastRenderedPageBreak/>
        <w:t xml:space="preserve">                           </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F96ACC" w:rsidRPr="00C744F1" w:rsidRDefault="00F96ACC"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w:t>
      </w:r>
      <w:r w:rsidR="00F94051">
        <w:rPr>
          <w:rFonts w:ascii="Times New Roman" w:hAnsi="Times New Roman"/>
          <w:b w:val="0"/>
          <w:color w:val="000000"/>
          <w:sz w:val="24"/>
          <w:szCs w:val="24"/>
        </w:rPr>
        <w:t>21</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 xml:space="preserve">Вариант 2: п.2.2. Оплата Товара производится Покупателем в течение ___ дней после принятия Товара Покупателем в полном объеме и подписания Сторонами </w:t>
      </w:r>
      <w:r w:rsidR="00B740A4">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w:t>
      </w:r>
      <w:r w:rsidR="005532D8">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E9707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w:t>
      </w:r>
      <w:r w:rsidRPr="00E97077">
        <w:rPr>
          <w:i/>
          <w:sz w:val="24"/>
          <w:szCs w:val="24"/>
        </w:rPr>
        <w:lastRenderedPageBreak/>
        <w:t>(УПД)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lastRenderedPageBreak/>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7A7498">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lastRenderedPageBreak/>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Pr="00C744F1"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lastRenderedPageBreak/>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F96ACC">
      <w:headerReference w:type="even" r:id="rId14"/>
      <w:headerReference w:type="default" r:id="rId15"/>
      <w:footerReference w:type="even" r:id="rId16"/>
      <w:footerReference w:type="default" r:id="rId1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F0" w:rsidRDefault="001710F0">
      <w:r>
        <w:separator/>
      </w:r>
    </w:p>
  </w:endnote>
  <w:endnote w:type="continuationSeparator" w:id="0">
    <w:p w:rsidR="001710F0" w:rsidRDefault="00171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3C76D9" w:rsidP="006C5A2C">
    <w:pPr>
      <w:pStyle w:val="a8"/>
      <w:framePr w:wrap="around" w:vAnchor="text" w:hAnchor="margin" w:xAlign="right" w:y="1"/>
      <w:rPr>
        <w:rStyle w:val="a7"/>
      </w:rPr>
    </w:pPr>
    <w:r>
      <w:rPr>
        <w:rStyle w:val="a7"/>
      </w:rPr>
      <w:fldChar w:fldCharType="begin"/>
    </w:r>
    <w:r w:rsidR="00C61FD4">
      <w:rPr>
        <w:rStyle w:val="a7"/>
      </w:rPr>
      <w:instrText xml:space="preserve">PAGE  </w:instrText>
    </w:r>
    <w:r>
      <w:rPr>
        <w:rStyle w:val="a7"/>
      </w:rPr>
      <w:fldChar w:fldCharType="separate"/>
    </w:r>
    <w:r w:rsidR="00C61FD4">
      <w:rPr>
        <w:rStyle w:val="a7"/>
        <w:noProof/>
      </w:rPr>
      <w:t>1</w:t>
    </w:r>
    <w:r>
      <w:rPr>
        <w:rStyle w:val="a7"/>
      </w:rPr>
      <w:fldChar w:fldCharType="end"/>
    </w:r>
  </w:p>
  <w:p w:rsidR="00C61FD4" w:rsidRDefault="00C61FD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C61FD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F0" w:rsidRDefault="001710F0">
      <w:r>
        <w:separator/>
      </w:r>
    </w:p>
  </w:footnote>
  <w:footnote w:type="continuationSeparator" w:id="0">
    <w:p w:rsidR="001710F0" w:rsidRDefault="001710F0">
      <w:r>
        <w:continuationSeparator/>
      </w:r>
    </w:p>
  </w:footnote>
  <w:footnote w:id="1">
    <w:p w:rsidR="00C61FD4" w:rsidRDefault="00C61FD4"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3C76D9" w:rsidP="00E210D2">
    <w:pPr>
      <w:pStyle w:val="a5"/>
      <w:framePr w:wrap="around" w:vAnchor="text" w:hAnchor="margin" w:xAlign="center" w:y="1"/>
      <w:rPr>
        <w:rStyle w:val="a7"/>
      </w:rPr>
    </w:pPr>
    <w:r>
      <w:rPr>
        <w:rStyle w:val="a7"/>
      </w:rPr>
      <w:fldChar w:fldCharType="begin"/>
    </w:r>
    <w:r w:rsidR="00C61FD4">
      <w:rPr>
        <w:rStyle w:val="a7"/>
      </w:rPr>
      <w:instrText xml:space="preserve">PAGE  </w:instrText>
    </w:r>
    <w:r>
      <w:rPr>
        <w:rStyle w:val="a7"/>
      </w:rPr>
      <w:fldChar w:fldCharType="separate"/>
    </w:r>
    <w:r w:rsidR="00C61FD4">
      <w:rPr>
        <w:rStyle w:val="a7"/>
        <w:noProof/>
      </w:rPr>
      <w:t>1</w:t>
    </w:r>
    <w:r>
      <w:rPr>
        <w:rStyle w:val="a7"/>
      </w:rPr>
      <w:fldChar w:fldCharType="end"/>
    </w:r>
  </w:p>
  <w:p w:rsidR="00C61FD4" w:rsidRDefault="00C61F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C61FD4" w:rsidP="00E210D2">
    <w:pPr>
      <w:pStyle w:val="a5"/>
      <w:framePr w:wrap="around" w:vAnchor="text" w:hAnchor="margin" w:xAlign="center" w:y="1"/>
      <w:rPr>
        <w:rStyle w:val="a7"/>
      </w:rPr>
    </w:pPr>
  </w:p>
  <w:p w:rsidR="00C61FD4" w:rsidRDefault="00C61FD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10F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C0D"/>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C76D9"/>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1F1"/>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2D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57E7"/>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D94"/>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0A4"/>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051"/>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FF2F8-2A93-4B31-AB37-5EFB1AD1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27</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59784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43</cp:revision>
  <cp:lastPrinted>2021-04-28T12:55:00Z</cp:lastPrinted>
  <dcterms:created xsi:type="dcterms:W3CDTF">2021-03-29T08:48:00Z</dcterms:created>
  <dcterms:modified xsi:type="dcterms:W3CDTF">2021-09-03T05:50:00Z</dcterms:modified>
</cp:coreProperties>
</file>